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BA1" w:rsidRDefault="00380BA1" w:rsidP="009A18DF">
      <w:pPr>
        <w:pStyle w:val="Heading1"/>
      </w:pPr>
      <w:bookmarkStart w:id="0" w:name="_GoBack"/>
      <w:bookmarkEnd w:id="0"/>
      <w:r>
        <w:t>V</w:t>
      </w:r>
      <w:r w:rsidR="009A18DF">
        <w:t>ision</w:t>
      </w:r>
      <w:r>
        <w:t xml:space="preserve"> A</w:t>
      </w:r>
      <w:r w:rsidR="009A18DF">
        <w:t>ustralia</w:t>
      </w:r>
    </w:p>
    <w:p w:rsidR="00380BA1" w:rsidRDefault="00380BA1">
      <w:pPr>
        <w:rPr>
          <w:rFonts w:cs="Arial"/>
          <w:b/>
        </w:rPr>
      </w:pPr>
    </w:p>
    <w:p w:rsidR="00380BA1" w:rsidRPr="009A18DF" w:rsidRDefault="00380BA1" w:rsidP="009A18DF">
      <w:pPr>
        <w:pStyle w:val="Heading2"/>
      </w:pPr>
      <w:r>
        <w:t>Directors’ Disclosure of Interest</w:t>
      </w:r>
      <w:r w:rsidR="001910F3">
        <w:t>s</w:t>
      </w:r>
      <w:r>
        <w:t xml:space="preserve"> Policy and</w:t>
      </w:r>
      <w:r w:rsidR="009A18DF">
        <w:t xml:space="preserve"> </w:t>
      </w:r>
      <w:r>
        <w:t>Policy for Handling Conflicts of Interest</w:t>
      </w:r>
    </w:p>
    <w:p w:rsidR="009A18DF" w:rsidRDefault="009A18DF" w:rsidP="009A18DF"/>
    <w:p w:rsidR="00380BA1" w:rsidRDefault="00380BA1" w:rsidP="009A18DF">
      <w:pPr>
        <w:pStyle w:val="Heading3"/>
      </w:pPr>
      <w:r>
        <w:t>P</w:t>
      </w:r>
      <w:r w:rsidR="009A18DF">
        <w:t>urpose</w:t>
      </w:r>
    </w:p>
    <w:p w:rsidR="001052D6" w:rsidRDefault="001052D6">
      <w:pPr>
        <w:spacing w:before="240"/>
        <w:rPr>
          <w:rFonts w:cs="Arial"/>
        </w:rPr>
      </w:pPr>
      <w:r>
        <w:rPr>
          <w:rFonts w:cs="Arial"/>
        </w:rPr>
        <w:t>Disclosure of interests and management of conflicts of interest are key responsibilities at law and also reflect good governance which is essential to protecting the brand of Vision Australia.</w:t>
      </w:r>
    </w:p>
    <w:p w:rsidR="00380BA1" w:rsidRDefault="00380BA1">
      <w:pPr>
        <w:spacing w:before="240"/>
        <w:rPr>
          <w:rFonts w:cs="Arial"/>
        </w:rPr>
      </w:pPr>
      <w:r>
        <w:rPr>
          <w:rFonts w:cs="Arial"/>
        </w:rPr>
        <w:t>Directors must ensure that they comply with their legal obligations to disclose any interest</w:t>
      </w:r>
      <w:r w:rsidR="001910F3">
        <w:rPr>
          <w:rFonts w:cs="Arial"/>
        </w:rPr>
        <w:t>s</w:t>
      </w:r>
      <w:r>
        <w:rPr>
          <w:rFonts w:cs="Arial"/>
        </w:rPr>
        <w:t xml:space="preserve"> </w:t>
      </w:r>
      <w:r w:rsidR="001052D6">
        <w:rPr>
          <w:rFonts w:cs="Arial"/>
        </w:rPr>
        <w:t>(</w:t>
      </w:r>
      <w:r>
        <w:rPr>
          <w:rFonts w:cs="Arial"/>
        </w:rPr>
        <w:t>including those interests of immediate family members</w:t>
      </w:r>
      <w:r w:rsidR="001052D6">
        <w:rPr>
          <w:rFonts w:cs="Arial"/>
        </w:rPr>
        <w:t>)</w:t>
      </w:r>
      <w:r>
        <w:rPr>
          <w:rFonts w:cs="Arial"/>
        </w:rPr>
        <w:t xml:space="preserve"> that they have in a matter that relates to the affairs of the company.</w:t>
      </w:r>
    </w:p>
    <w:p w:rsidR="00380BA1" w:rsidRDefault="00380BA1">
      <w:pPr>
        <w:spacing w:before="240"/>
        <w:rPr>
          <w:rFonts w:cs="Arial"/>
        </w:rPr>
      </w:pPr>
      <w:r>
        <w:rPr>
          <w:rFonts w:cs="Arial"/>
        </w:rPr>
        <w:t xml:space="preserve">The law requires that Directors do not allow a conflict of interest to compromise </w:t>
      </w:r>
      <w:r w:rsidR="00FF5B79">
        <w:rPr>
          <w:rFonts w:cs="Arial"/>
        </w:rPr>
        <w:t>or unduly influence the</w:t>
      </w:r>
      <w:r w:rsidR="001052D6">
        <w:rPr>
          <w:rFonts w:cs="Arial"/>
        </w:rPr>
        <w:t>ir</w:t>
      </w:r>
      <w:r w:rsidR="00FF5B79">
        <w:rPr>
          <w:rFonts w:cs="Arial"/>
        </w:rPr>
        <w:t xml:space="preserve"> role </w:t>
      </w:r>
      <w:r w:rsidR="001052D6">
        <w:rPr>
          <w:rFonts w:cs="Arial"/>
        </w:rPr>
        <w:t xml:space="preserve">as </w:t>
      </w:r>
      <w:r w:rsidR="00FF5B79">
        <w:rPr>
          <w:rFonts w:cs="Arial"/>
        </w:rPr>
        <w:t>an independent D</w:t>
      </w:r>
      <w:r>
        <w:rPr>
          <w:rFonts w:cs="Arial"/>
        </w:rPr>
        <w:t xml:space="preserve">irector of the company, or to </w:t>
      </w:r>
      <w:r w:rsidR="005B2F2B">
        <w:rPr>
          <w:rFonts w:cs="Arial"/>
        </w:rPr>
        <w:t>unduly</w:t>
      </w:r>
      <w:r w:rsidR="00FF5B79">
        <w:rPr>
          <w:rFonts w:cs="Arial"/>
        </w:rPr>
        <w:t xml:space="preserve"> </w:t>
      </w:r>
      <w:r>
        <w:rPr>
          <w:rFonts w:cs="Arial"/>
        </w:rPr>
        <w:t>influence their decisions as a</w:t>
      </w:r>
      <w:r w:rsidR="00FF5B79">
        <w:rPr>
          <w:rFonts w:cs="Arial"/>
        </w:rPr>
        <w:t>n independent</w:t>
      </w:r>
      <w:r>
        <w:rPr>
          <w:rFonts w:cs="Arial"/>
        </w:rPr>
        <w:t xml:space="preserve"> Director.</w:t>
      </w:r>
    </w:p>
    <w:p w:rsidR="00380BA1" w:rsidRDefault="00380BA1">
      <w:pPr>
        <w:spacing w:before="240"/>
        <w:rPr>
          <w:rFonts w:cs="Arial"/>
        </w:rPr>
      </w:pPr>
      <w:r>
        <w:rPr>
          <w:rFonts w:cs="Arial"/>
        </w:rPr>
        <w:t>This policy sets out the procedures that Directors agree they will follow:</w:t>
      </w:r>
    </w:p>
    <w:p w:rsidR="00380BA1" w:rsidRDefault="00380BA1">
      <w:pPr>
        <w:numPr>
          <w:ilvl w:val="0"/>
          <w:numId w:val="1"/>
        </w:numPr>
        <w:spacing w:before="240"/>
        <w:rPr>
          <w:rFonts w:cs="Arial"/>
        </w:rPr>
      </w:pPr>
      <w:r>
        <w:rPr>
          <w:rFonts w:cs="Arial"/>
        </w:rPr>
        <w:t>to disclose interests that they have; and</w:t>
      </w:r>
    </w:p>
    <w:p w:rsidR="00380BA1" w:rsidRDefault="00380BA1">
      <w:pPr>
        <w:numPr>
          <w:ilvl w:val="0"/>
          <w:numId w:val="1"/>
        </w:numPr>
        <w:rPr>
          <w:rFonts w:cs="Arial"/>
        </w:rPr>
      </w:pPr>
      <w:proofErr w:type="gramStart"/>
      <w:r>
        <w:rPr>
          <w:rFonts w:cs="Arial"/>
        </w:rPr>
        <w:t>to</w:t>
      </w:r>
      <w:proofErr w:type="gramEnd"/>
      <w:r>
        <w:rPr>
          <w:rFonts w:cs="Arial"/>
        </w:rPr>
        <w:t xml:space="preserve"> act should a conflict of interest occur.</w:t>
      </w:r>
    </w:p>
    <w:p w:rsidR="009A18DF" w:rsidRDefault="009A18DF" w:rsidP="009A18DF">
      <w:pPr>
        <w:ind w:left="360"/>
        <w:rPr>
          <w:rFonts w:cs="Arial"/>
        </w:rPr>
      </w:pPr>
    </w:p>
    <w:p w:rsidR="00380BA1" w:rsidRDefault="00380BA1" w:rsidP="009A18DF">
      <w:pPr>
        <w:pStyle w:val="Heading3"/>
      </w:pPr>
      <w:r>
        <w:t>S</w:t>
      </w:r>
      <w:r w:rsidR="009A18DF">
        <w:t>tatus</w:t>
      </w:r>
      <w:r>
        <w:t xml:space="preserve"> </w:t>
      </w:r>
      <w:proofErr w:type="gramStart"/>
      <w:r w:rsidR="009A18DF">
        <w:t>Of</w:t>
      </w:r>
      <w:proofErr w:type="gramEnd"/>
      <w:r>
        <w:t xml:space="preserve"> P</w:t>
      </w:r>
      <w:r w:rsidR="009A18DF">
        <w:t>olicy</w:t>
      </w:r>
    </w:p>
    <w:p w:rsidR="00380BA1" w:rsidRDefault="00380BA1">
      <w:pPr>
        <w:spacing w:before="240"/>
        <w:rPr>
          <w:rFonts w:cs="Arial"/>
        </w:rPr>
      </w:pPr>
      <w:r>
        <w:rPr>
          <w:rFonts w:cs="Arial"/>
        </w:rPr>
        <w:t xml:space="preserve">This policy will be reviewed </w:t>
      </w:r>
      <w:proofErr w:type="gramStart"/>
      <w:r>
        <w:rPr>
          <w:rFonts w:cs="Arial"/>
        </w:rPr>
        <w:t>annually,</w:t>
      </w:r>
      <w:proofErr w:type="gramEnd"/>
      <w:r>
        <w:rPr>
          <w:rFonts w:cs="Arial"/>
        </w:rPr>
        <w:t xml:space="preserve"> or more frequently if changes to legal or regulatory requirements dictate.</w:t>
      </w:r>
    </w:p>
    <w:p w:rsidR="00380BA1" w:rsidRDefault="001910F3">
      <w:pPr>
        <w:spacing w:before="240"/>
        <w:rPr>
          <w:rFonts w:cs="Arial"/>
        </w:rPr>
      </w:pPr>
      <w:r>
        <w:rPr>
          <w:rFonts w:cs="Arial"/>
        </w:rPr>
        <w:t>The company is responsible at law for taking reasonable steps to ensure that e</w:t>
      </w:r>
      <w:r w:rsidR="00380BA1">
        <w:rPr>
          <w:rFonts w:cs="Arial"/>
        </w:rPr>
        <w:t xml:space="preserve">ach Director </w:t>
      </w:r>
      <w:r>
        <w:rPr>
          <w:rFonts w:cs="Arial"/>
        </w:rPr>
        <w:t xml:space="preserve">ensures </w:t>
      </w:r>
      <w:r w:rsidR="00380BA1">
        <w:rPr>
          <w:rFonts w:cs="Arial"/>
        </w:rPr>
        <w:t>that they comply with this policy</w:t>
      </w:r>
      <w:r>
        <w:rPr>
          <w:rFonts w:cs="Arial"/>
        </w:rPr>
        <w:t xml:space="preserve"> and with the law.</w:t>
      </w:r>
    </w:p>
    <w:p w:rsidR="009A18DF" w:rsidRDefault="009A18DF">
      <w:pPr>
        <w:spacing w:before="240"/>
        <w:rPr>
          <w:rFonts w:cs="Arial"/>
        </w:rPr>
      </w:pPr>
    </w:p>
    <w:p w:rsidR="00380BA1" w:rsidRDefault="00380BA1" w:rsidP="009A18DF">
      <w:pPr>
        <w:pStyle w:val="Heading3"/>
      </w:pPr>
      <w:r>
        <w:t>D</w:t>
      </w:r>
      <w:r w:rsidR="009A18DF">
        <w:t>efinition</w:t>
      </w:r>
    </w:p>
    <w:p w:rsidR="001910F3" w:rsidRDefault="00380BA1">
      <w:pPr>
        <w:spacing w:before="240"/>
        <w:rPr>
          <w:rFonts w:cs="Arial"/>
        </w:rPr>
      </w:pPr>
      <w:r>
        <w:rPr>
          <w:rFonts w:cs="Arial"/>
        </w:rPr>
        <w:t xml:space="preserve">A conflict of interest arises where a director has an interest which conflicts (or might conflict, or might be perceived to conflict) with the interests of Vision Australia. </w:t>
      </w:r>
    </w:p>
    <w:p w:rsidR="00380BA1" w:rsidRDefault="00380BA1">
      <w:pPr>
        <w:spacing w:before="240"/>
        <w:rPr>
          <w:rFonts w:cs="Arial"/>
        </w:rPr>
      </w:pPr>
      <w:r>
        <w:rPr>
          <w:rFonts w:cs="Arial"/>
        </w:rPr>
        <w:t>The key question to ask when considering whether an interest might conflict is:</w:t>
      </w:r>
    </w:p>
    <w:p w:rsidR="00380BA1" w:rsidRDefault="00380BA1">
      <w:pPr>
        <w:spacing w:before="240"/>
        <w:rPr>
          <w:rFonts w:cs="Arial"/>
        </w:rPr>
      </w:pPr>
      <w:r>
        <w:rPr>
          <w:rFonts w:cs="Arial"/>
        </w:rPr>
        <w:lastRenderedPageBreak/>
        <w:t>Does the matter create an incentive (or could it reasonably be perceived to create an incentive) for the Director to act in a way that may not be in the best interests of Vision Australia, its members, clients or other stakeholders?</w:t>
      </w:r>
      <w:r w:rsidR="00BA76BD">
        <w:rPr>
          <w:rFonts w:cs="Arial"/>
        </w:rPr>
        <w:t xml:space="preserve"> Where a matter does create such an incentive or a perception </w:t>
      </w:r>
      <w:r w:rsidR="006A7BA3">
        <w:rPr>
          <w:rFonts w:cs="Arial"/>
        </w:rPr>
        <w:t>of such an</w:t>
      </w:r>
      <w:r w:rsidR="00BA76BD">
        <w:rPr>
          <w:rFonts w:cs="Arial"/>
        </w:rPr>
        <w:t xml:space="preserve"> incentive</w:t>
      </w:r>
      <w:r w:rsidR="006A7BA3">
        <w:rPr>
          <w:rFonts w:cs="Arial"/>
        </w:rPr>
        <w:t>,</w:t>
      </w:r>
      <w:r w:rsidR="00BA76BD">
        <w:rPr>
          <w:rFonts w:cs="Arial"/>
        </w:rPr>
        <w:t xml:space="preserve"> this is considered to be a “ma</w:t>
      </w:r>
      <w:r w:rsidR="006A7BA3">
        <w:rPr>
          <w:rFonts w:cs="Arial"/>
        </w:rPr>
        <w:t>terial</w:t>
      </w:r>
      <w:r w:rsidR="00BA76BD">
        <w:rPr>
          <w:rFonts w:cs="Arial"/>
        </w:rPr>
        <w:t xml:space="preserve"> conflict</w:t>
      </w:r>
      <w:r w:rsidR="006A7BA3">
        <w:rPr>
          <w:rFonts w:cs="Arial"/>
        </w:rPr>
        <w:t>” for the purposes of this policy.</w:t>
      </w:r>
    </w:p>
    <w:p w:rsidR="00380BA1" w:rsidRDefault="00380BA1">
      <w:pPr>
        <w:spacing w:before="240"/>
        <w:rPr>
          <w:rFonts w:cs="Arial"/>
        </w:rPr>
      </w:pPr>
      <w:r>
        <w:rPr>
          <w:rFonts w:cs="Arial"/>
        </w:rPr>
        <w:t>A conflict may take a number of forms. It may be financial or non-financial. It may be direct or indirect. It may be professional or family related. For example, a conflict of interest may arise from:</w:t>
      </w:r>
    </w:p>
    <w:p w:rsidR="00380BA1" w:rsidRDefault="00380BA1">
      <w:pPr>
        <w:numPr>
          <w:ilvl w:val="0"/>
          <w:numId w:val="5"/>
        </w:numPr>
        <w:spacing w:before="240"/>
        <w:rPr>
          <w:rFonts w:cs="Arial"/>
        </w:rPr>
      </w:pPr>
      <w:r>
        <w:rPr>
          <w:rFonts w:cs="Arial"/>
        </w:rPr>
        <w:t>Other directorships or other employment;</w:t>
      </w:r>
    </w:p>
    <w:p w:rsidR="00380BA1" w:rsidRDefault="00380BA1">
      <w:pPr>
        <w:numPr>
          <w:ilvl w:val="0"/>
          <w:numId w:val="5"/>
        </w:numPr>
        <w:rPr>
          <w:rFonts w:cs="Arial"/>
        </w:rPr>
      </w:pPr>
      <w:r>
        <w:rPr>
          <w:rFonts w:cs="Arial"/>
        </w:rPr>
        <w:t xml:space="preserve">Interests in business enterprises or professional practices providing services to Vision </w:t>
      </w:r>
      <w:smartTag w:uri="urn:schemas-microsoft-com:office:smarttags" w:element="country-region">
        <w:smartTag w:uri="urn:schemas-microsoft-com:office:smarttags" w:element="place">
          <w:r>
            <w:rPr>
              <w:rFonts w:cs="Arial"/>
            </w:rPr>
            <w:t>Australia</w:t>
          </w:r>
        </w:smartTag>
      </w:smartTag>
      <w:r>
        <w:rPr>
          <w:rFonts w:cs="Arial"/>
        </w:rPr>
        <w:t>;</w:t>
      </w:r>
    </w:p>
    <w:p w:rsidR="00380BA1" w:rsidRDefault="00380BA1">
      <w:pPr>
        <w:numPr>
          <w:ilvl w:val="0"/>
          <w:numId w:val="5"/>
        </w:numPr>
        <w:rPr>
          <w:rFonts w:cs="Arial"/>
        </w:rPr>
      </w:pPr>
      <w:r>
        <w:rPr>
          <w:rFonts w:cs="Arial"/>
        </w:rPr>
        <w:t xml:space="preserve">Share ownership in major suppliers of Vision </w:t>
      </w:r>
      <w:smartTag w:uri="urn:schemas-microsoft-com:office:smarttags" w:element="place">
        <w:smartTag w:uri="urn:schemas-microsoft-com:office:smarttags" w:element="country-region">
          <w:r>
            <w:rPr>
              <w:rFonts w:cs="Arial"/>
            </w:rPr>
            <w:t>Australia</w:t>
          </w:r>
        </w:smartTag>
      </w:smartTag>
      <w:r>
        <w:rPr>
          <w:rFonts w:cs="Arial"/>
        </w:rPr>
        <w:t>;</w:t>
      </w:r>
    </w:p>
    <w:p w:rsidR="00380BA1" w:rsidRDefault="00380BA1">
      <w:pPr>
        <w:numPr>
          <w:ilvl w:val="0"/>
          <w:numId w:val="5"/>
        </w:numPr>
        <w:rPr>
          <w:rFonts w:cs="Arial"/>
        </w:rPr>
      </w:pPr>
      <w:r>
        <w:rPr>
          <w:rFonts w:cs="Arial"/>
        </w:rPr>
        <w:t>Beneficial interests in trusts;</w:t>
      </w:r>
    </w:p>
    <w:p w:rsidR="00380BA1" w:rsidRDefault="00380BA1">
      <w:pPr>
        <w:numPr>
          <w:ilvl w:val="0"/>
          <w:numId w:val="5"/>
        </w:numPr>
        <w:rPr>
          <w:rFonts w:cs="Arial"/>
        </w:rPr>
      </w:pPr>
      <w:r>
        <w:rPr>
          <w:rFonts w:cs="Arial"/>
        </w:rPr>
        <w:t>Existing professional or personal associations with Vision Australia</w:t>
      </w:r>
      <w:r w:rsidR="006A7BA3">
        <w:rPr>
          <w:rFonts w:cs="Arial"/>
        </w:rPr>
        <w:t>;</w:t>
      </w:r>
    </w:p>
    <w:p w:rsidR="00380BA1" w:rsidRDefault="00380BA1">
      <w:pPr>
        <w:numPr>
          <w:ilvl w:val="0"/>
          <w:numId w:val="5"/>
        </w:numPr>
        <w:rPr>
          <w:rFonts w:cs="Arial"/>
        </w:rPr>
      </w:pPr>
      <w:r>
        <w:rPr>
          <w:rFonts w:cs="Arial"/>
        </w:rPr>
        <w:t>Professional or personal associations with other groups or organizations; or</w:t>
      </w:r>
    </w:p>
    <w:p w:rsidR="00380BA1" w:rsidRDefault="00380BA1">
      <w:pPr>
        <w:numPr>
          <w:ilvl w:val="0"/>
          <w:numId w:val="5"/>
        </w:numPr>
        <w:rPr>
          <w:rFonts w:cs="Arial"/>
        </w:rPr>
      </w:pPr>
      <w:r>
        <w:rPr>
          <w:rFonts w:cs="Arial"/>
        </w:rPr>
        <w:t>Family relationships.</w:t>
      </w:r>
    </w:p>
    <w:p w:rsidR="009A18DF" w:rsidRDefault="009A18DF" w:rsidP="009A18DF">
      <w:pPr>
        <w:rPr>
          <w:rFonts w:cs="Arial"/>
        </w:rPr>
      </w:pPr>
    </w:p>
    <w:p w:rsidR="00380BA1" w:rsidRDefault="00380BA1" w:rsidP="009A18DF">
      <w:pPr>
        <w:pStyle w:val="Heading3"/>
      </w:pPr>
      <w:r>
        <w:t>D</w:t>
      </w:r>
      <w:r w:rsidR="009A18DF">
        <w:t>isclosure of Interests</w:t>
      </w:r>
    </w:p>
    <w:p w:rsidR="00380BA1" w:rsidRDefault="00380BA1" w:rsidP="009A18DF">
      <w:pPr>
        <w:pStyle w:val="Heading4"/>
      </w:pPr>
      <w:r>
        <w:t>Guiding Principle</w:t>
      </w:r>
    </w:p>
    <w:p w:rsidR="00380BA1" w:rsidRDefault="00380BA1">
      <w:pPr>
        <w:spacing w:before="240"/>
        <w:rPr>
          <w:rFonts w:cs="Arial"/>
        </w:rPr>
      </w:pPr>
      <w:r>
        <w:rPr>
          <w:rFonts w:cs="Arial"/>
        </w:rPr>
        <w:t>A Director should disclose to all other Directors:</w:t>
      </w:r>
    </w:p>
    <w:p w:rsidR="00380BA1" w:rsidRDefault="00380BA1">
      <w:pPr>
        <w:numPr>
          <w:ilvl w:val="0"/>
          <w:numId w:val="2"/>
        </w:numPr>
        <w:spacing w:before="240"/>
        <w:rPr>
          <w:rFonts w:cs="Arial"/>
        </w:rPr>
      </w:pPr>
      <w:r>
        <w:rPr>
          <w:rFonts w:cs="Arial"/>
        </w:rPr>
        <w:t>any interest that they have in a matter which relates to the affairs of Vision Australia; and</w:t>
      </w:r>
    </w:p>
    <w:p w:rsidR="00380BA1" w:rsidRDefault="00380BA1">
      <w:pPr>
        <w:numPr>
          <w:ilvl w:val="0"/>
          <w:numId w:val="2"/>
        </w:numPr>
        <w:rPr>
          <w:rFonts w:cs="Arial"/>
        </w:rPr>
      </w:pPr>
      <w:r>
        <w:rPr>
          <w:rFonts w:cs="Arial"/>
        </w:rPr>
        <w:t xml:space="preserve">any other interest, circumstance, relationship or other matter which the Director believes is appropriate to disclose in order to avoid an actual </w:t>
      </w:r>
      <w:r w:rsidR="006A7BA3">
        <w:rPr>
          <w:rFonts w:cs="Arial"/>
        </w:rPr>
        <w:t xml:space="preserve">material </w:t>
      </w:r>
      <w:r>
        <w:rPr>
          <w:rFonts w:cs="Arial"/>
        </w:rPr>
        <w:t>conflict of interest or the perception of a</w:t>
      </w:r>
      <w:r w:rsidR="006A7BA3">
        <w:rPr>
          <w:rFonts w:cs="Arial"/>
        </w:rPr>
        <w:t xml:space="preserve"> material</w:t>
      </w:r>
      <w:r>
        <w:rPr>
          <w:rFonts w:cs="Arial"/>
        </w:rPr>
        <w:t xml:space="preserve"> conflict of interest.</w:t>
      </w:r>
    </w:p>
    <w:p w:rsidR="00380BA1" w:rsidRDefault="00380BA1">
      <w:pPr>
        <w:spacing w:before="240"/>
        <w:rPr>
          <w:rFonts w:cs="Arial"/>
        </w:rPr>
      </w:pPr>
      <w:r>
        <w:rPr>
          <w:rFonts w:cs="Arial"/>
        </w:rPr>
        <w:t>The disclosure should be made either:</w:t>
      </w:r>
    </w:p>
    <w:p w:rsidR="00380BA1" w:rsidRDefault="00380BA1">
      <w:pPr>
        <w:numPr>
          <w:ilvl w:val="0"/>
          <w:numId w:val="3"/>
        </w:numPr>
        <w:spacing w:before="240"/>
        <w:rPr>
          <w:rFonts w:cs="Arial"/>
        </w:rPr>
      </w:pPr>
      <w:r>
        <w:rPr>
          <w:rFonts w:cs="Arial"/>
        </w:rPr>
        <w:t>as soon as practicable after the Director becomes aware of the interest, circumstances, relationship or other matter, or</w:t>
      </w:r>
    </w:p>
    <w:p w:rsidR="00380BA1" w:rsidRDefault="00380BA1">
      <w:pPr>
        <w:numPr>
          <w:ilvl w:val="0"/>
          <w:numId w:val="3"/>
        </w:numPr>
        <w:rPr>
          <w:rFonts w:cs="Arial"/>
        </w:rPr>
      </w:pPr>
      <w:r>
        <w:rPr>
          <w:rFonts w:cs="Arial"/>
        </w:rPr>
        <w:t>in the Standing Notice of Disclosure of Interests (see procedure below).</w:t>
      </w:r>
    </w:p>
    <w:p w:rsidR="00380BA1" w:rsidRDefault="00380BA1">
      <w:pPr>
        <w:spacing w:before="240"/>
        <w:rPr>
          <w:rFonts w:cs="Arial"/>
        </w:rPr>
      </w:pPr>
      <w:r>
        <w:rPr>
          <w:rFonts w:cs="Arial"/>
        </w:rPr>
        <w:t>Details of the disclosure must be recorded in the minutes of the meeting at which the disclosure is made or the first meeting following the disclosure.</w:t>
      </w:r>
    </w:p>
    <w:p w:rsidR="00380BA1" w:rsidRDefault="00380BA1" w:rsidP="009A18DF">
      <w:pPr>
        <w:pStyle w:val="Heading4"/>
      </w:pPr>
      <w:r>
        <w:t>Procedure - Standing Notice of Disclosure of Interest</w:t>
      </w:r>
    </w:p>
    <w:p w:rsidR="00380BA1" w:rsidRDefault="00380BA1">
      <w:pPr>
        <w:spacing w:before="240"/>
        <w:rPr>
          <w:rFonts w:cs="Arial"/>
        </w:rPr>
      </w:pPr>
      <w:r>
        <w:rPr>
          <w:rFonts w:cs="Arial"/>
        </w:rPr>
        <w:t xml:space="preserve">Each Director must complete a Standing Notice of Disclosure of Interests when they sign their Consent to Act and these will be recorded in the minutes of the first meeting that the Director attends. </w:t>
      </w:r>
    </w:p>
    <w:p w:rsidR="00380BA1" w:rsidRDefault="00380BA1">
      <w:pPr>
        <w:spacing w:before="240"/>
        <w:rPr>
          <w:rFonts w:cs="Arial"/>
        </w:rPr>
      </w:pPr>
      <w:r>
        <w:rPr>
          <w:rFonts w:cs="Arial"/>
        </w:rPr>
        <w:lastRenderedPageBreak/>
        <w:t>Directors must disclose any changes to the Standing Notice of Disclosure of Interests as soon as practicable. Such changes will be recorded in the minutes of the meeting at which Directors are advised of the change.</w:t>
      </w:r>
    </w:p>
    <w:p w:rsidR="00380BA1" w:rsidRDefault="00380BA1">
      <w:pPr>
        <w:spacing w:before="240"/>
        <w:rPr>
          <w:rFonts w:cs="Arial"/>
        </w:rPr>
      </w:pPr>
      <w:r>
        <w:rPr>
          <w:rFonts w:cs="Arial"/>
        </w:rPr>
        <w:t>A Standing Notice of Disclosure of Interests for each Director will be distributed to all Directors at least annually and will be tabled at a meeting of Directors and recorded in the minutes of that meeting.</w:t>
      </w:r>
    </w:p>
    <w:p w:rsidR="00380BA1" w:rsidRDefault="00380BA1" w:rsidP="009A18DF">
      <w:pPr>
        <w:pStyle w:val="Heading4"/>
      </w:pPr>
      <w:r>
        <w:t>Procedure for Handling</w:t>
      </w:r>
      <w:r w:rsidR="006A7BA3">
        <w:t xml:space="preserve"> Material</w:t>
      </w:r>
      <w:r>
        <w:t xml:space="preserve"> Conflict of Interest</w:t>
      </w:r>
    </w:p>
    <w:p w:rsidR="001052D6" w:rsidRPr="001052D6" w:rsidRDefault="001052D6" w:rsidP="001052D6">
      <w:pPr>
        <w:keepNext/>
        <w:numPr>
          <w:ilvl w:val="0"/>
          <w:numId w:val="7"/>
        </w:numPr>
        <w:spacing w:before="240"/>
        <w:rPr>
          <w:rFonts w:cs="Arial"/>
          <w:lang w:val="en-AU"/>
        </w:rPr>
      </w:pPr>
      <w:r w:rsidRPr="001052D6">
        <w:rPr>
          <w:rFonts w:cs="Arial"/>
          <w:lang w:val="en-AU"/>
        </w:rPr>
        <w:t xml:space="preserve">The policy should provide that where </w:t>
      </w:r>
      <w:r w:rsidR="00324515">
        <w:rPr>
          <w:rFonts w:cs="Arial"/>
          <w:lang w:val="en-AU"/>
        </w:rPr>
        <w:t>, as a result of the disclosure</w:t>
      </w:r>
      <w:r w:rsidR="001F6F2B">
        <w:rPr>
          <w:rFonts w:cs="Arial"/>
          <w:lang w:val="en-AU"/>
        </w:rPr>
        <w:t>, it is</w:t>
      </w:r>
      <w:r w:rsidR="00324515">
        <w:rPr>
          <w:rFonts w:cs="Arial"/>
          <w:lang w:val="en-AU"/>
        </w:rPr>
        <w:t xml:space="preserve"> the view of the Board</w:t>
      </w:r>
      <w:r w:rsidR="001F6F2B">
        <w:rPr>
          <w:rFonts w:cs="Arial"/>
          <w:lang w:val="en-AU"/>
        </w:rPr>
        <w:t xml:space="preserve"> (excluding the Director making the disclosure) that</w:t>
      </w:r>
      <w:r w:rsidR="00324515">
        <w:rPr>
          <w:rFonts w:cs="Arial"/>
          <w:lang w:val="en-AU"/>
        </w:rPr>
        <w:t xml:space="preserve"> </w:t>
      </w:r>
      <w:r w:rsidR="001F6F2B">
        <w:rPr>
          <w:rFonts w:cs="Arial"/>
          <w:lang w:val="en-AU"/>
        </w:rPr>
        <w:t>the</w:t>
      </w:r>
      <w:r w:rsidRPr="001052D6">
        <w:rPr>
          <w:rFonts w:cs="Arial"/>
          <w:lang w:val="en-AU"/>
        </w:rPr>
        <w:t xml:space="preserve"> Director has an interest which gives rise to a material conflict or perceived </w:t>
      </w:r>
      <w:r w:rsidR="001F6F2B">
        <w:rPr>
          <w:rFonts w:cs="Arial"/>
          <w:lang w:val="en-AU"/>
        </w:rPr>
        <w:t xml:space="preserve">material </w:t>
      </w:r>
      <w:r w:rsidRPr="001052D6">
        <w:rPr>
          <w:rFonts w:cs="Arial"/>
          <w:lang w:val="en-AU"/>
        </w:rPr>
        <w:t>conflict, then:</w:t>
      </w:r>
    </w:p>
    <w:p w:rsidR="001052D6" w:rsidRPr="001052D6" w:rsidRDefault="001052D6" w:rsidP="001052D6">
      <w:pPr>
        <w:keepNext/>
        <w:numPr>
          <w:ilvl w:val="1"/>
          <w:numId w:val="7"/>
        </w:numPr>
        <w:spacing w:before="240"/>
        <w:rPr>
          <w:rFonts w:cs="Arial"/>
          <w:lang w:val="en-AU"/>
        </w:rPr>
      </w:pPr>
      <w:r w:rsidRPr="001052D6">
        <w:rPr>
          <w:rFonts w:cs="Arial"/>
          <w:lang w:val="en-AU"/>
        </w:rPr>
        <w:t xml:space="preserve">The Director should not participate in any discussion about the matter and should not receive related </w:t>
      </w:r>
      <w:r w:rsidR="00866FF2">
        <w:rPr>
          <w:rFonts w:cs="Arial"/>
          <w:lang w:val="en-AU"/>
        </w:rPr>
        <w:t>B</w:t>
      </w:r>
      <w:r w:rsidRPr="001052D6">
        <w:rPr>
          <w:rFonts w:cs="Arial"/>
          <w:lang w:val="en-AU"/>
        </w:rPr>
        <w:t>oard papers or information.</w:t>
      </w:r>
    </w:p>
    <w:p w:rsidR="001052D6" w:rsidRPr="001052D6" w:rsidRDefault="001052D6" w:rsidP="001052D6">
      <w:pPr>
        <w:keepNext/>
        <w:numPr>
          <w:ilvl w:val="1"/>
          <w:numId w:val="7"/>
        </w:numPr>
        <w:spacing w:before="240"/>
        <w:rPr>
          <w:rFonts w:cs="Arial"/>
          <w:lang w:val="en-AU"/>
        </w:rPr>
      </w:pPr>
      <w:r w:rsidRPr="001052D6">
        <w:rPr>
          <w:rFonts w:cs="Arial"/>
          <w:lang w:val="en-AU"/>
        </w:rPr>
        <w:t>The Director should not remain in any meeting when the matter is being discussed.  (This should be noted in the meeting minutes).</w:t>
      </w:r>
    </w:p>
    <w:p w:rsidR="001052D6" w:rsidRPr="001052D6" w:rsidRDefault="001052D6" w:rsidP="001052D6">
      <w:pPr>
        <w:keepNext/>
        <w:numPr>
          <w:ilvl w:val="1"/>
          <w:numId w:val="7"/>
        </w:numPr>
        <w:spacing w:before="240"/>
        <w:rPr>
          <w:rFonts w:cs="Arial"/>
          <w:lang w:val="en-AU"/>
        </w:rPr>
      </w:pPr>
      <w:r w:rsidRPr="001052D6">
        <w:rPr>
          <w:rFonts w:cs="Arial"/>
          <w:lang w:val="en-AU"/>
        </w:rPr>
        <w:t>The Director should not vote on the matter, nor should the Director influence the voting of others.</w:t>
      </w:r>
    </w:p>
    <w:p w:rsidR="001052D6" w:rsidRPr="001052D6" w:rsidRDefault="001052D6" w:rsidP="001052D6">
      <w:pPr>
        <w:keepNext/>
        <w:numPr>
          <w:ilvl w:val="1"/>
          <w:numId w:val="7"/>
        </w:numPr>
        <w:spacing w:before="240"/>
        <w:rPr>
          <w:rFonts w:cs="Arial"/>
          <w:lang w:val="en-AU"/>
        </w:rPr>
      </w:pPr>
      <w:r w:rsidRPr="001052D6">
        <w:rPr>
          <w:rFonts w:cs="Arial"/>
          <w:lang w:val="en-AU"/>
        </w:rPr>
        <w:t xml:space="preserve">Where the Director with the “conflict” has a particular knowledge or expertise in the matter which the </w:t>
      </w:r>
      <w:r w:rsidR="006A7BA3">
        <w:rPr>
          <w:rFonts w:cs="Arial"/>
          <w:lang w:val="en-AU"/>
        </w:rPr>
        <w:t>B</w:t>
      </w:r>
      <w:r w:rsidRPr="001052D6">
        <w:rPr>
          <w:rFonts w:cs="Arial"/>
          <w:lang w:val="en-AU"/>
        </w:rPr>
        <w:t xml:space="preserve">oard is unable to receive through any other channel, the Director may, provided all the other Directors agree and provided to do so is in the interests of the organisation, present their comments to the </w:t>
      </w:r>
      <w:r w:rsidR="006A7BA3">
        <w:rPr>
          <w:rFonts w:cs="Arial"/>
          <w:lang w:val="en-AU"/>
        </w:rPr>
        <w:t>B</w:t>
      </w:r>
      <w:r w:rsidRPr="001052D6">
        <w:rPr>
          <w:rFonts w:cs="Arial"/>
          <w:lang w:val="en-AU"/>
        </w:rPr>
        <w:t>oard, provided they do not promote a particular decision and are not present nor do they vote on the matter.</w:t>
      </w:r>
      <w:r w:rsidR="006A7BA3">
        <w:rPr>
          <w:rFonts w:cs="Arial"/>
          <w:lang w:val="en-AU"/>
        </w:rPr>
        <w:t xml:space="preserve">  In such circumstances, the Director may also receive </w:t>
      </w:r>
      <w:r w:rsidR="00866FF2">
        <w:rPr>
          <w:rFonts w:cs="Arial"/>
          <w:lang w:val="en-AU"/>
        </w:rPr>
        <w:t xml:space="preserve">copies of the relevant </w:t>
      </w:r>
      <w:r w:rsidR="006A7BA3">
        <w:rPr>
          <w:rFonts w:cs="Arial"/>
          <w:lang w:val="en-AU"/>
        </w:rPr>
        <w:t>Board papers and related information</w:t>
      </w:r>
      <w:r w:rsidR="00866FF2">
        <w:rPr>
          <w:rFonts w:cs="Arial"/>
          <w:lang w:val="en-AU"/>
        </w:rPr>
        <w:t xml:space="preserve"> so that they are able to properly provide the benefit of their knowledge and expertise to the Board.</w:t>
      </w:r>
    </w:p>
    <w:p w:rsidR="001052D6" w:rsidRPr="001052D6" w:rsidRDefault="001052D6" w:rsidP="001052D6">
      <w:pPr>
        <w:keepNext/>
        <w:numPr>
          <w:ilvl w:val="1"/>
          <w:numId w:val="7"/>
        </w:numPr>
        <w:spacing w:before="240"/>
        <w:rPr>
          <w:rFonts w:cs="Arial"/>
          <w:lang w:val="en-AU"/>
        </w:rPr>
      </w:pPr>
      <w:r w:rsidRPr="001052D6">
        <w:rPr>
          <w:rFonts w:cs="Arial"/>
          <w:lang w:val="en-AU"/>
        </w:rPr>
        <w:t>Where the majority or all the Directors have a</w:t>
      </w:r>
      <w:r w:rsidR="00866FF2">
        <w:rPr>
          <w:rFonts w:cs="Arial"/>
          <w:lang w:val="en-AU"/>
        </w:rPr>
        <w:t xml:space="preserve"> material</w:t>
      </w:r>
      <w:r w:rsidRPr="001052D6">
        <w:rPr>
          <w:rFonts w:cs="Arial"/>
          <w:lang w:val="en-AU"/>
        </w:rPr>
        <w:t xml:space="preserve"> conflict, the </w:t>
      </w:r>
      <w:r w:rsidR="00866FF2">
        <w:rPr>
          <w:rFonts w:cs="Arial"/>
          <w:lang w:val="en-AU"/>
        </w:rPr>
        <w:t xml:space="preserve">material </w:t>
      </w:r>
      <w:r w:rsidRPr="001052D6">
        <w:rPr>
          <w:rFonts w:cs="Arial"/>
          <w:lang w:val="en-AU"/>
        </w:rPr>
        <w:t>conflict should be disclosed to the members and their consent to the decision obtained.</w:t>
      </w:r>
    </w:p>
    <w:p w:rsidR="00380BA1" w:rsidRDefault="00380BA1">
      <w:pPr>
        <w:spacing w:before="240"/>
        <w:rPr>
          <w:rFonts w:cs="Arial"/>
        </w:rPr>
      </w:pPr>
      <w:r>
        <w:rPr>
          <w:rFonts w:cs="Arial"/>
        </w:rPr>
        <w:t>The minutes of the meeting should record the</w:t>
      </w:r>
      <w:r w:rsidR="001052D6">
        <w:rPr>
          <w:rFonts w:cs="Arial"/>
        </w:rPr>
        <w:t xml:space="preserve"> identification of the conflict, the fact that the Director was not present for the discussion or the vote and the</w:t>
      </w:r>
      <w:r>
        <w:rPr>
          <w:rFonts w:cs="Arial"/>
        </w:rPr>
        <w:t xml:space="preserve"> decision taken by the Directors who do not have an interest in the matter.</w:t>
      </w:r>
    </w:p>
    <w:p w:rsidR="001052D6" w:rsidRDefault="001052D6">
      <w:pPr>
        <w:spacing w:before="240"/>
        <w:rPr>
          <w:rFonts w:cs="Arial"/>
        </w:rPr>
      </w:pPr>
      <w:r>
        <w:rPr>
          <w:rFonts w:cs="Arial"/>
        </w:rPr>
        <w:t>For completeness, the minutes should record the Director re-joining the meeting (if that is the case) and also what other process is to be put in place to further manage the conflict.</w:t>
      </w:r>
    </w:p>
    <w:p w:rsidR="00380BA1" w:rsidRPr="00490314" w:rsidRDefault="00866FF2">
      <w:pPr>
        <w:spacing w:before="240"/>
        <w:rPr>
          <w:rFonts w:cs="Arial"/>
        </w:rPr>
      </w:pPr>
      <w:r w:rsidRPr="00490314">
        <w:rPr>
          <w:rFonts w:cs="Arial"/>
        </w:rPr>
        <w:lastRenderedPageBreak/>
        <w:t>Where a decision is made</w:t>
      </w:r>
      <w:r>
        <w:rPr>
          <w:rFonts w:cs="Arial"/>
        </w:rPr>
        <w:t xml:space="preserve"> by the Board to allow the Director to provide the benefit of their knowledge and expertise as contemplated by clause (d) above, this should also be recorded in the minutes.</w:t>
      </w:r>
    </w:p>
    <w:sectPr w:rsidR="00380BA1" w:rsidRPr="00490314">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paperSrc w:first="258" w:other="25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2C4" w:rsidRDefault="007D32C4">
      <w:r>
        <w:separator/>
      </w:r>
    </w:p>
  </w:endnote>
  <w:endnote w:type="continuationSeparator" w:id="0">
    <w:p w:rsidR="007D32C4" w:rsidRDefault="007D3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F82" w:rsidRDefault="00781F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1F82" w:rsidRDefault="00781F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sz w:val="20"/>
        <w:szCs w:val="20"/>
      </w:rPr>
      <w:id w:val="-1620524381"/>
      <w:docPartObj>
        <w:docPartGallery w:val="Page Numbers (Bottom of Page)"/>
        <w:docPartUnique/>
      </w:docPartObj>
    </w:sdtPr>
    <w:sdtEndPr/>
    <w:sdtContent>
      <w:sdt>
        <w:sdtPr>
          <w:rPr>
            <w:rFonts w:cs="Arial"/>
            <w:sz w:val="20"/>
            <w:szCs w:val="20"/>
          </w:rPr>
          <w:id w:val="1551502795"/>
          <w:docPartObj>
            <w:docPartGallery w:val="Page Numbers (Top of Page)"/>
            <w:docPartUnique/>
          </w:docPartObj>
        </w:sdtPr>
        <w:sdtEndPr/>
        <w:sdtContent>
          <w:p w:rsidR="00F34834" w:rsidRPr="00F34834" w:rsidRDefault="00F34834" w:rsidP="00F34834">
            <w:pPr>
              <w:ind w:left="-993" w:right="-716"/>
              <w:rPr>
                <w:rFonts w:cs="Arial"/>
                <w:sz w:val="20"/>
                <w:szCs w:val="20"/>
              </w:rPr>
            </w:pPr>
            <w:r w:rsidRPr="00F34834">
              <w:rPr>
                <w:rFonts w:cs="Arial"/>
                <w:sz w:val="20"/>
                <w:szCs w:val="20"/>
              </w:rPr>
              <w:t>Directors’ Disclosure of Interests Policy and Policy for Handling Conflicts of Interest</w:t>
            </w:r>
            <w:r>
              <w:rPr>
                <w:rFonts w:cs="Arial"/>
                <w:sz w:val="20"/>
                <w:szCs w:val="20"/>
              </w:rPr>
              <w:t xml:space="preserve">- 19 August 2015    </w:t>
            </w:r>
            <w:r w:rsidRPr="00F34834">
              <w:rPr>
                <w:rFonts w:cs="Arial"/>
                <w:sz w:val="20"/>
                <w:szCs w:val="20"/>
              </w:rPr>
              <w:t xml:space="preserve">Page </w:t>
            </w:r>
            <w:r w:rsidRPr="00F34834">
              <w:rPr>
                <w:rFonts w:cs="Arial"/>
                <w:bCs/>
                <w:sz w:val="20"/>
                <w:szCs w:val="20"/>
              </w:rPr>
              <w:fldChar w:fldCharType="begin"/>
            </w:r>
            <w:r w:rsidRPr="00F34834">
              <w:rPr>
                <w:rFonts w:cs="Arial"/>
                <w:bCs/>
                <w:sz w:val="20"/>
                <w:szCs w:val="20"/>
              </w:rPr>
              <w:instrText xml:space="preserve"> PAGE </w:instrText>
            </w:r>
            <w:r w:rsidRPr="00F34834">
              <w:rPr>
                <w:rFonts w:cs="Arial"/>
                <w:bCs/>
                <w:sz w:val="20"/>
                <w:szCs w:val="20"/>
              </w:rPr>
              <w:fldChar w:fldCharType="separate"/>
            </w:r>
            <w:r w:rsidR="00257C01">
              <w:rPr>
                <w:rFonts w:cs="Arial"/>
                <w:bCs/>
                <w:noProof/>
                <w:sz w:val="20"/>
                <w:szCs w:val="20"/>
              </w:rPr>
              <w:t>2</w:t>
            </w:r>
            <w:r w:rsidRPr="00F34834">
              <w:rPr>
                <w:rFonts w:cs="Arial"/>
                <w:bCs/>
                <w:sz w:val="20"/>
                <w:szCs w:val="20"/>
              </w:rPr>
              <w:fldChar w:fldCharType="end"/>
            </w:r>
            <w:r w:rsidRPr="00F34834">
              <w:rPr>
                <w:rFonts w:cs="Arial"/>
                <w:sz w:val="20"/>
                <w:szCs w:val="20"/>
              </w:rPr>
              <w:t xml:space="preserve"> of </w:t>
            </w:r>
            <w:r w:rsidRPr="00F34834">
              <w:rPr>
                <w:rFonts w:cs="Arial"/>
                <w:bCs/>
                <w:sz w:val="20"/>
                <w:szCs w:val="20"/>
              </w:rPr>
              <w:fldChar w:fldCharType="begin"/>
            </w:r>
            <w:r w:rsidRPr="00F34834">
              <w:rPr>
                <w:rFonts w:cs="Arial"/>
                <w:bCs/>
                <w:sz w:val="20"/>
                <w:szCs w:val="20"/>
              </w:rPr>
              <w:instrText xml:space="preserve"> NUMPAGES  </w:instrText>
            </w:r>
            <w:r w:rsidRPr="00F34834">
              <w:rPr>
                <w:rFonts w:cs="Arial"/>
                <w:bCs/>
                <w:sz w:val="20"/>
                <w:szCs w:val="20"/>
              </w:rPr>
              <w:fldChar w:fldCharType="separate"/>
            </w:r>
            <w:r w:rsidR="00257C01">
              <w:rPr>
                <w:rFonts w:cs="Arial"/>
                <w:bCs/>
                <w:noProof/>
                <w:sz w:val="20"/>
                <w:szCs w:val="20"/>
              </w:rPr>
              <w:t>4</w:t>
            </w:r>
            <w:r w:rsidRPr="00F34834">
              <w:rPr>
                <w:rFonts w:cs="Arial"/>
                <w:bCs/>
                <w:sz w:val="20"/>
                <w:szCs w:val="20"/>
              </w:rPr>
              <w:fldChar w:fldCharType="end"/>
            </w:r>
          </w:p>
        </w:sdtContent>
      </w:sdt>
    </w:sdtContent>
  </w:sdt>
  <w:p w:rsidR="00781F82" w:rsidRDefault="00781F82" w:rsidP="00F3483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sz w:val="20"/>
        <w:szCs w:val="20"/>
      </w:rPr>
      <w:id w:val="-429116224"/>
      <w:docPartObj>
        <w:docPartGallery w:val="Page Numbers (Bottom of Page)"/>
        <w:docPartUnique/>
      </w:docPartObj>
    </w:sdtPr>
    <w:sdtEndPr/>
    <w:sdtContent>
      <w:sdt>
        <w:sdtPr>
          <w:rPr>
            <w:rFonts w:cs="Arial"/>
            <w:sz w:val="20"/>
            <w:szCs w:val="20"/>
          </w:rPr>
          <w:id w:val="860082579"/>
          <w:docPartObj>
            <w:docPartGallery w:val="Page Numbers (Top of Page)"/>
            <w:docPartUnique/>
          </w:docPartObj>
        </w:sdtPr>
        <w:sdtEndPr/>
        <w:sdtContent>
          <w:p w:rsidR="0054369A" w:rsidRPr="00F34834" w:rsidRDefault="00F34834" w:rsidP="00F34834">
            <w:pPr>
              <w:ind w:left="-993" w:right="-716"/>
              <w:rPr>
                <w:rFonts w:cs="Arial"/>
                <w:sz w:val="20"/>
                <w:szCs w:val="20"/>
              </w:rPr>
            </w:pPr>
            <w:r w:rsidRPr="00F34834">
              <w:rPr>
                <w:rFonts w:cs="Arial"/>
                <w:sz w:val="20"/>
                <w:szCs w:val="20"/>
              </w:rPr>
              <w:t>Directors’ Disclosure of Interests Policy and Policy for Handling Conflicts of Interest</w:t>
            </w:r>
            <w:r>
              <w:rPr>
                <w:rFonts w:cs="Arial"/>
                <w:sz w:val="20"/>
                <w:szCs w:val="20"/>
              </w:rPr>
              <w:t xml:space="preserve">- 19 August 2015    </w:t>
            </w:r>
            <w:r w:rsidR="0054369A" w:rsidRPr="00F34834">
              <w:rPr>
                <w:rFonts w:cs="Arial"/>
                <w:sz w:val="20"/>
                <w:szCs w:val="20"/>
              </w:rPr>
              <w:t xml:space="preserve">Page </w:t>
            </w:r>
            <w:r w:rsidR="0054369A" w:rsidRPr="00F34834">
              <w:rPr>
                <w:rFonts w:cs="Arial"/>
                <w:bCs/>
                <w:sz w:val="20"/>
                <w:szCs w:val="20"/>
              </w:rPr>
              <w:fldChar w:fldCharType="begin"/>
            </w:r>
            <w:r w:rsidR="0054369A" w:rsidRPr="00F34834">
              <w:rPr>
                <w:rFonts w:cs="Arial"/>
                <w:bCs/>
                <w:sz w:val="20"/>
                <w:szCs w:val="20"/>
              </w:rPr>
              <w:instrText xml:space="preserve"> PAGE </w:instrText>
            </w:r>
            <w:r w:rsidR="0054369A" w:rsidRPr="00F34834">
              <w:rPr>
                <w:rFonts w:cs="Arial"/>
                <w:bCs/>
                <w:sz w:val="20"/>
                <w:szCs w:val="20"/>
              </w:rPr>
              <w:fldChar w:fldCharType="separate"/>
            </w:r>
            <w:r w:rsidR="00257C01">
              <w:rPr>
                <w:rFonts w:cs="Arial"/>
                <w:bCs/>
                <w:noProof/>
                <w:sz w:val="20"/>
                <w:szCs w:val="20"/>
              </w:rPr>
              <w:t>1</w:t>
            </w:r>
            <w:r w:rsidR="0054369A" w:rsidRPr="00F34834">
              <w:rPr>
                <w:rFonts w:cs="Arial"/>
                <w:bCs/>
                <w:sz w:val="20"/>
                <w:szCs w:val="20"/>
              </w:rPr>
              <w:fldChar w:fldCharType="end"/>
            </w:r>
            <w:r w:rsidR="0054369A" w:rsidRPr="00F34834">
              <w:rPr>
                <w:rFonts w:cs="Arial"/>
                <w:sz w:val="20"/>
                <w:szCs w:val="20"/>
              </w:rPr>
              <w:t xml:space="preserve"> of </w:t>
            </w:r>
            <w:r w:rsidR="0054369A" w:rsidRPr="00F34834">
              <w:rPr>
                <w:rFonts w:cs="Arial"/>
                <w:bCs/>
                <w:sz w:val="20"/>
                <w:szCs w:val="20"/>
              </w:rPr>
              <w:fldChar w:fldCharType="begin"/>
            </w:r>
            <w:r w:rsidR="0054369A" w:rsidRPr="00F34834">
              <w:rPr>
                <w:rFonts w:cs="Arial"/>
                <w:bCs/>
                <w:sz w:val="20"/>
                <w:szCs w:val="20"/>
              </w:rPr>
              <w:instrText xml:space="preserve"> NUMPAGES  </w:instrText>
            </w:r>
            <w:r w:rsidR="0054369A" w:rsidRPr="00F34834">
              <w:rPr>
                <w:rFonts w:cs="Arial"/>
                <w:bCs/>
                <w:sz w:val="20"/>
                <w:szCs w:val="20"/>
              </w:rPr>
              <w:fldChar w:fldCharType="separate"/>
            </w:r>
            <w:r w:rsidR="00257C01">
              <w:rPr>
                <w:rFonts w:cs="Arial"/>
                <w:bCs/>
                <w:noProof/>
                <w:sz w:val="20"/>
                <w:szCs w:val="20"/>
              </w:rPr>
              <w:t>4</w:t>
            </w:r>
            <w:r w:rsidR="0054369A" w:rsidRPr="00F34834">
              <w:rPr>
                <w:rFonts w:cs="Arial"/>
                <w:bCs/>
                <w:sz w:val="20"/>
                <w:szCs w:val="20"/>
              </w:rPr>
              <w:fldChar w:fldCharType="end"/>
            </w:r>
          </w:p>
        </w:sdtContent>
      </w:sdt>
    </w:sdtContent>
  </w:sdt>
  <w:p w:rsidR="0054369A" w:rsidRDefault="00F34834" w:rsidP="00F34834">
    <w:pPr>
      <w:pStyle w:val="Footer"/>
      <w:tabs>
        <w:tab w:val="clear" w:pos="4153"/>
        <w:tab w:val="clear" w:pos="8306"/>
        <w:tab w:val="left" w:pos="103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2C4" w:rsidRDefault="007D32C4">
      <w:r>
        <w:separator/>
      </w:r>
    </w:p>
  </w:footnote>
  <w:footnote w:type="continuationSeparator" w:id="0">
    <w:p w:rsidR="007D32C4" w:rsidRDefault="007D32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C01" w:rsidRDefault="00257C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C01" w:rsidRDefault="00257C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C01" w:rsidRDefault="00257C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665"/>
    <w:multiLevelType w:val="multilevel"/>
    <w:tmpl w:val="92AC601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641BA6"/>
    <w:multiLevelType w:val="hybridMultilevel"/>
    <w:tmpl w:val="D34244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7DD78ED"/>
    <w:multiLevelType w:val="hybridMultilevel"/>
    <w:tmpl w:val="F4A02F8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DBD29BC"/>
    <w:multiLevelType w:val="hybridMultilevel"/>
    <w:tmpl w:val="9718FF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DA672DA"/>
    <w:multiLevelType w:val="hybridMultilevel"/>
    <w:tmpl w:val="ACDAC6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68677845"/>
    <w:multiLevelType w:val="hybridMultilevel"/>
    <w:tmpl w:val="92DCAF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69CF6C43"/>
    <w:multiLevelType w:val="hybridMultilevel"/>
    <w:tmpl w:val="19D434DC"/>
    <w:lvl w:ilvl="0" w:tplc="04090001">
      <w:start w:val="1"/>
      <w:numFmt w:val="bullet"/>
      <w:lvlText w:val=""/>
      <w:lvlJc w:val="left"/>
      <w:pPr>
        <w:tabs>
          <w:tab w:val="num" w:pos="360"/>
        </w:tabs>
        <w:ind w:left="360" w:hanging="360"/>
      </w:pPr>
      <w:rPr>
        <w:rFonts w:ascii="Symbol" w:hAnsi="Symbol" w:hint="default"/>
      </w:rPr>
    </w:lvl>
    <w:lvl w:ilvl="1" w:tplc="04090017">
      <w:start w:val="1"/>
      <w:numFmt w:val="lowerLetter"/>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1"/>
  </w:num>
  <w:num w:numId="6">
    <w:abstractNumId w:val="0"/>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holas Carr">
    <w15:presenceInfo w15:providerId="Windows Live" w15:userId="d180f42901a8c9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n-AU"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C6F"/>
    <w:rsid w:val="000307B5"/>
    <w:rsid w:val="00044C6F"/>
    <w:rsid w:val="000B1E60"/>
    <w:rsid w:val="001052D6"/>
    <w:rsid w:val="0012626A"/>
    <w:rsid w:val="00176BB3"/>
    <w:rsid w:val="001910F3"/>
    <w:rsid w:val="001F6F2B"/>
    <w:rsid w:val="00216AF1"/>
    <w:rsid w:val="00242033"/>
    <w:rsid w:val="00257C01"/>
    <w:rsid w:val="00324515"/>
    <w:rsid w:val="00333B53"/>
    <w:rsid w:val="00376FCF"/>
    <w:rsid w:val="00380BA1"/>
    <w:rsid w:val="00490314"/>
    <w:rsid w:val="004D75C9"/>
    <w:rsid w:val="0054369A"/>
    <w:rsid w:val="0058325B"/>
    <w:rsid w:val="005A25D2"/>
    <w:rsid w:val="005B2F2B"/>
    <w:rsid w:val="005F36ED"/>
    <w:rsid w:val="006A7BA3"/>
    <w:rsid w:val="006E335C"/>
    <w:rsid w:val="00781F82"/>
    <w:rsid w:val="007C087A"/>
    <w:rsid w:val="007D32C4"/>
    <w:rsid w:val="00866FF2"/>
    <w:rsid w:val="008B0567"/>
    <w:rsid w:val="008E1554"/>
    <w:rsid w:val="009166E9"/>
    <w:rsid w:val="00940CE5"/>
    <w:rsid w:val="009A18DF"/>
    <w:rsid w:val="00AC4BBF"/>
    <w:rsid w:val="00B2641A"/>
    <w:rsid w:val="00BA76BD"/>
    <w:rsid w:val="00C50BD4"/>
    <w:rsid w:val="00CF62D6"/>
    <w:rsid w:val="00E957BC"/>
    <w:rsid w:val="00F162D0"/>
    <w:rsid w:val="00F34834"/>
    <w:rsid w:val="00FF5B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8DF"/>
    <w:rPr>
      <w:rFonts w:ascii="Arial" w:hAnsi="Arial"/>
      <w:sz w:val="24"/>
      <w:szCs w:val="24"/>
      <w:lang w:val="en-US" w:eastAsia="en-US"/>
    </w:rPr>
  </w:style>
  <w:style w:type="paragraph" w:styleId="Heading1">
    <w:name w:val="heading 1"/>
    <w:basedOn w:val="Normal"/>
    <w:next w:val="Normal"/>
    <w:link w:val="Heading1Char"/>
    <w:qFormat/>
    <w:rsid w:val="009A18DF"/>
    <w:pPr>
      <w:keepNext/>
      <w:keepLines/>
      <w:spacing w:before="480"/>
      <w:outlineLvl w:val="0"/>
    </w:pPr>
    <w:rPr>
      <w:rFonts w:eastAsiaTheme="majorEastAsia" w:cstheme="majorBidi"/>
      <w:b/>
      <w:bCs/>
      <w:sz w:val="40"/>
      <w:szCs w:val="28"/>
    </w:rPr>
  </w:style>
  <w:style w:type="paragraph" w:styleId="Heading2">
    <w:name w:val="heading 2"/>
    <w:basedOn w:val="Normal"/>
    <w:next w:val="Normal"/>
    <w:link w:val="Heading2Char"/>
    <w:unhideWhenUsed/>
    <w:qFormat/>
    <w:rsid w:val="009A18DF"/>
    <w:pPr>
      <w:keepNext/>
      <w:keepLines/>
      <w:spacing w:before="200"/>
      <w:outlineLvl w:val="1"/>
    </w:pPr>
    <w:rPr>
      <w:rFonts w:eastAsiaTheme="majorEastAsia" w:cstheme="majorBidi"/>
      <w:b/>
      <w:bCs/>
      <w:sz w:val="32"/>
      <w:szCs w:val="26"/>
    </w:rPr>
  </w:style>
  <w:style w:type="paragraph" w:styleId="Heading3">
    <w:name w:val="heading 3"/>
    <w:basedOn w:val="Normal"/>
    <w:next w:val="Normal"/>
    <w:link w:val="Heading3Char"/>
    <w:unhideWhenUsed/>
    <w:qFormat/>
    <w:rsid w:val="009A18DF"/>
    <w:pPr>
      <w:keepNext/>
      <w:keepLines/>
      <w:spacing w:before="200"/>
      <w:outlineLvl w:val="2"/>
    </w:pPr>
    <w:rPr>
      <w:rFonts w:eastAsiaTheme="majorEastAsia" w:cstheme="majorBidi"/>
      <w:b/>
      <w:bCs/>
      <w:sz w:val="28"/>
    </w:rPr>
  </w:style>
  <w:style w:type="paragraph" w:styleId="Heading4">
    <w:name w:val="heading 4"/>
    <w:basedOn w:val="Normal"/>
    <w:next w:val="Normal"/>
    <w:link w:val="Heading4Char"/>
    <w:unhideWhenUsed/>
    <w:qFormat/>
    <w:rsid w:val="009A18DF"/>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character" w:styleId="CommentReference">
    <w:name w:val="annotation reference"/>
    <w:basedOn w:val="DefaultParagraphFont"/>
    <w:rsid w:val="00324515"/>
    <w:rPr>
      <w:sz w:val="16"/>
      <w:szCs w:val="16"/>
    </w:rPr>
  </w:style>
  <w:style w:type="paragraph" w:styleId="CommentText">
    <w:name w:val="annotation text"/>
    <w:basedOn w:val="Normal"/>
    <w:link w:val="CommentTextChar"/>
    <w:rsid w:val="00324515"/>
    <w:rPr>
      <w:sz w:val="20"/>
      <w:szCs w:val="20"/>
    </w:rPr>
  </w:style>
  <w:style w:type="character" w:customStyle="1" w:styleId="CommentTextChar">
    <w:name w:val="Comment Text Char"/>
    <w:basedOn w:val="DefaultParagraphFont"/>
    <w:link w:val="CommentText"/>
    <w:rsid w:val="00324515"/>
    <w:rPr>
      <w:lang w:val="en-US" w:eastAsia="en-US"/>
    </w:rPr>
  </w:style>
  <w:style w:type="paragraph" w:styleId="CommentSubject">
    <w:name w:val="annotation subject"/>
    <w:basedOn w:val="CommentText"/>
    <w:next w:val="CommentText"/>
    <w:link w:val="CommentSubjectChar"/>
    <w:rsid w:val="00324515"/>
    <w:rPr>
      <w:b/>
      <w:bCs/>
    </w:rPr>
  </w:style>
  <w:style w:type="character" w:customStyle="1" w:styleId="CommentSubjectChar">
    <w:name w:val="Comment Subject Char"/>
    <w:basedOn w:val="CommentTextChar"/>
    <w:link w:val="CommentSubject"/>
    <w:rsid w:val="00324515"/>
    <w:rPr>
      <w:b/>
      <w:bCs/>
      <w:lang w:val="en-US" w:eastAsia="en-US"/>
    </w:rPr>
  </w:style>
  <w:style w:type="paragraph" w:styleId="Revision">
    <w:name w:val="Revision"/>
    <w:hidden/>
    <w:uiPriority w:val="99"/>
    <w:semiHidden/>
    <w:rsid w:val="00AC4BBF"/>
    <w:rPr>
      <w:sz w:val="24"/>
      <w:szCs w:val="24"/>
      <w:lang w:val="en-US" w:eastAsia="en-US"/>
    </w:rPr>
  </w:style>
  <w:style w:type="character" w:customStyle="1" w:styleId="FooterChar">
    <w:name w:val="Footer Char"/>
    <w:basedOn w:val="DefaultParagraphFont"/>
    <w:link w:val="Footer"/>
    <w:uiPriority w:val="99"/>
    <w:rsid w:val="0054369A"/>
    <w:rPr>
      <w:sz w:val="24"/>
      <w:szCs w:val="24"/>
      <w:lang w:val="en-US" w:eastAsia="en-US"/>
    </w:rPr>
  </w:style>
  <w:style w:type="character" w:customStyle="1" w:styleId="Heading1Char">
    <w:name w:val="Heading 1 Char"/>
    <w:basedOn w:val="DefaultParagraphFont"/>
    <w:link w:val="Heading1"/>
    <w:rsid w:val="009A18DF"/>
    <w:rPr>
      <w:rFonts w:ascii="Arial" w:eastAsiaTheme="majorEastAsia" w:hAnsi="Arial" w:cstheme="majorBidi"/>
      <w:b/>
      <w:bCs/>
      <w:sz w:val="40"/>
      <w:szCs w:val="28"/>
      <w:lang w:val="en-US" w:eastAsia="en-US"/>
    </w:rPr>
  </w:style>
  <w:style w:type="character" w:customStyle="1" w:styleId="Heading2Char">
    <w:name w:val="Heading 2 Char"/>
    <w:basedOn w:val="DefaultParagraphFont"/>
    <w:link w:val="Heading2"/>
    <w:rsid w:val="009A18DF"/>
    <w:rPr>
      <w:rFonts w:ascii="Arial" w:eastAsiaTheme="majorEastAsia" w:hAnsi="Arial" w:cstheme="majorBidi"/>
      <w:b/>
      <w:bCs/>
      <w:sz w:val="32"/>
      <w:szCs w:val="26"/>
      <w:lang w:val="en-US" w:eastAsia="en-US"/>
    </w:rPr>
  </w:style>
  <w:style w:type="character" w:customStyle="1" w:styleId="Heading3Char">
    <w:name w:val="Heading 3 Char"/>
    <w:basedOn w:val="DefaultParagraphFont"/>
    <w:link w:val="Heading3"/>
    <w:rsid w:val="009A18DF"/>
    <w:rPr>
      <w:rFonts w:ascii="Arial" w:eastAsiaTheme="majorEastAsia" w:hAnsi="Arial" w:cstheme="majorBidi"/>
      <w:b/>
      <w:bCs/>
      <w:sz w:val="28"/>
      <w:szCs w:val="24"/>
      <w:lang w:val="en-US" w:eastAsia="en-US"/>
    </w:rPr>
  </w:style>
  <w:style w:type="character" w:customStyle="1" w:styleId="Heading4Char">
    <w:name w:val="Heading 4 Char"/>
    <w:basedOn w:val="DefaultParagraphFont"/>
    <w:link w:val="Heading4"/>
    <w:rsid w:val="009A18DF"/>
    <w:rPr>
      <w:rFonts w:ascii="Arial" w:eastAsiaTheme="majorEastAsia" w:hAnsi="Arial" w:cstheme="majorBidi"/>
      <w:b/>
      <w:bCs/>
      <w:iCs/>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8DF"/>
    <w:rPr>
      <w:rFonts w:ascii="Arial" w:hAnsi="Arial"/>
      <w:sz w:val="24"/>
      <w:szCs w:val="24"/>
      <w:lang w:val="en-US" w:eastAsia="en-US"/>
    </w:rPr>
  </w:style>
  <w:style w:type="paragraph" w:styleId="Heading1">
    <w:name w:val="heading 1"/>
    <w:basedOn w:val="Normal"/>
    <w:next w:val="Normal"/>
    <w:link w:val="Heading1Char"/>
    <w:qFormat/>
    <w:rsid w:val="009A18DF"/>
    <w:pPr>
      <w:keepNext/>
      <w:keepLines/>
      <w:spacing w:before="480"/>
      <w:outlineLvl w:val="0"/>
    </w:pPr>
    <w:rPr>
      <w:rFonts w:eastAsiaTheme="majorEastAsia" w:cstheme="majorBidi"/>
      <w:b/>
      <w:bCs/>
      <w:sz w:val="40"/>
      <w:szCs w:val="28"/>
    </w:rPr>
  </w:style>
  <w:style w:type="paragraph" w:styleId="Heading2">
    <w:name w:val="heading 2"/>
    <w:basedOn w:val="Normal"/>
    <w:next w:val="Normal"/>
    <w:link w:val="Heading2Char"/>
    <w:unhideWhenUsed/>
    <w:qFormat/>
    <w:rsid w:val="009A18DF"/>
    <w:pPr>
      <w:keepNext/>
      <w:keepLines/>
      <w:spacing w:before="200"/>
      <w:outlineLvl w:val="1"/>
    </w:pPr>
    <w:rPr>
      <w:rFonts w:eastAsiaTheme="majorEastAsia" w:cstheme="majorBidi"/>
      <w:b/>
      <w:bCs/>
      <w:sz w:val="32"/>
      <w:szCs w:val="26"/>
    </w:rPr>
  </w:style>
  <w:style w:type="paragraph" w:styleId="Heading3">
    <w:name w:val="heading 3"/>
    <w:basedOn w:val="Normal"/>
    <w:next w:val="Normal"/>
    <w:link w:val="Heading3Char"/>
    <w:unhideWhenUsed/>
    <w:qFormat/>
    <w:rsid w:val="009A18DF"/>
    <w:pPr>
      <w:keepNext/>
      <w:keepLines/>
      <w:spacing w:before="200"/>
      <w:outlineLvl w:val="2"/>
    </w:pPr>
    <w:rPr>
      <w:rFonts w:eastAsiaTheme="majorEastAsia" w:cstheme="majorBidi"/>
      <w:b/>
      <w:bCs/>
      <w:sz w:val="28"/>
    </w:rPr>
  </w:style>
  <w:style w:type="paragraph" w:styleId="Heading4">
    <w:name w:val="heading 4"/>
    <w:basedOn w:val="Normal"/>
    <w:next w:val="Normal"/>
    <w:link w:val="Heading4Char"/>
    <w:unhideWhenUsed/>
    <w:qFormat/>
    <w:rsid w:val="009A18DF"/>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character" w:styleId="CommentReference">
    <w:name w:val="annotation reference"/>
    <w:basedOn w:val="DefaultParagraphFont"/>
    <w:rsid w:val="00324515"/>
    <w:rPr>
      <w:sz w:val="16"/>
      <w:szCs w:val="16"/>
    </w:rPr>
  </w:style>
  <w:style w:type="paragraph" w:styleId="CommentText">
    <w:name w:val="annotation text"/>
    <w:basedOn w:val="Normal"/>
    <w:link w:val="CommentTextChar"/>
    <w:rsid w:val="00324515"/>
    <w:rPr>
      <w:sz w:val="20"/>
      <w:szCs w:val="20"/>
    </w:rPr>
  </w:style>
  <w:style w:type="character" w:customStyle="1" w:styleId="CommentTextChar">
    <w:name w:val="Comment Text Char"/>
    <w:basedOn w:val="DefaultParagraphFont"/>
    <w:link w:val="CommentText"/>
    <w:rsid w:val="00324515"/>
    <w:rPr>
      <w:lang w:val="en-US" w:eastAsia="en-US"/>
    </w:rPr>
  </w:style>
  <w:style w:type="paragraph" w:styleId="CommentSubject">
    <w:name w:val="annotation subject"/>
    <w:basedOn w:val="CommentText"/>
    <w:next w:val="CommentText"/>
    <w:link w:val="CommentSubjectChar"/>
    <w:rsid w:val="00324515"/>
    <w:rPr>
      <w:b/>
      <w:bCs/>
    </w:rPr>
  </w:style>
  <w:style w:type="character" w:customStyle="1" w:styleId="CommentSubjectChar">
    <w:name w:val="Comment Subject Char"/>
    <w:basedOn w:val="CommentTextChar"/>
    <w:link w:val="CommentSubject"/>
    <w:rsid w:val="00324515"/>
    <w:rPr>
      <w:b/>
      <w:bCs/>
      <w:lang w:val="en-US" w:eastAsia="en-US"/>
    </w:rPr>
  </w:style>
  <w:style w:type="paragraph" w:styleId="Revision">
    <w:name w:val="Revision"/>
    <w:hidden/>
    <w:uiPriority w:val="99"/>
    <w:semiHidden/>
    <w:rsid w:val="00AC4BBF"/>
    <w:rPr>
      <w:sz w:val="24"/>
      <w:szCs w:val="24"/>
      <w:lang w:val="en-US" w:eastAsia="en-US"/>
    </w:rPr>
  </w:style>
  <w:style w:type="character" w:customStyle="1" w:styleId="FooterChar">
    <w:name w:val="Footer Char"/>
    <w:basedOn w:val="DefaultParagraphFont"/>
    <w:link w:val="Footer"/>
    <w:uiPriority w:val="99"/>
    <w:rsid w:val="0054369A"/>
    <w:rPr>
      <w:sz w:val="24"/>
      <w:szCs w:val="24"/>
      <w:lang w:val="en-US" w:eastAsia="en-US"/>
    </w:rPr>
  </w:style>
  <w:style w:type="character" w:customStyle="1" w:styleId="Heading1Char">
    <w:name w:val="Heading 1 Char"/>
    <w:basedOn w:val="DefaultParagraphFont"/>
    <w:link w:val="Heading1"/>
    <w:rsid w:val="009A18DF"/>
    <w:rPr>
      <w:rFonts w:ascii="Arial" w:eastAsiaTheme="majorEastAsia" w:hAnsi="Arial" w:cstheme="majorBidi"/>
      <w:b/>
      <w:bCs/>
      <w:sz w:val="40"/>
      <w:szCs w:val="28"/>
      <w:lang w:val="en-US" w:eastAsia="en-US"/>
    </w:rPr>
  </w:style>
  <w:style w:type="character" w:customStyle="1" w:styleId="Heading2Char">
    <w:name w:val="Heading 2 Char"/>
    <w:basedOn w:val="DefaultParagraphFont"/>
    <w:link w:val="Heading2"/>
    <w:rsid w:val="009A18DF"/>
    <w:rPr>
      <w:rFonts w:ascii="Arial" w:eastAsiaTheme="majorEastAsia" w:hAnsi="Arial" w:cstheme="majorBidi"/>
      <w:b/>
      <w:bCs/>
      <w:sz w:val="32"/>
      <w:szCs w:val="26"/>
      <w:lang w:val="en-US" w:eastAsia="en-US"/>
    </w:rPr>
  </w:style>
  <w:style w:type="character" w:customStyle="1" w:styleId="Heading3Char">
    <w:name w:val="Heading 3 Char"/>
    <w:basedOn w:val="DefaultParagraphFont"/>
    <w:link w:val="Heading3"/>
    <w:rsid w:val="009A18DF"/>
    <w:rPr>
      <w:rFonts w:ascii="Arial" w:eastAsiaTheme="majorEastAsia" w:hAnsi="Arial" w:cstheme="majorBidi"/>
      <w:b/>
      <w:bCs/>
      <w:sz w:val="28"/>
      <w:szCs w:val="24"/>
      <w:lang w:val="en-US" w:eastAsia="en-US"/>
    </w:rPr>
  </w:style>
  <w:style w:type="character" w:customStyle="1" w:styleId="Heading4Char">
    <w:name w:val="Heading 4 Char"/>
    <w:basedOn w:val="DefaultParagraphFont"/>
    <w:link w:val="Heading4"/>
    <w:rsid w:val="009A18DF"/>
    <w:rPr>
      <w:rFonts w:ascii="Arial" w:eastAsiaTheme="majorEastAsia" w:hAnsi="Arial" w:cstheme="majorBidi"/>
      <w:b/>
      <w:bCs/>
      <w:i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EC480-2C7E-4040-A133-A496B743E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899</Words>
  <Characters>5125</Characters>
  <Application>Microsoft Office Word</Application>
  <DocSecurity>0</DocSecurity>
  <Lines>42</Lines>
  <Paragraphs>12</Paragraphs>
  <ScaleCrop>false</ScaleCrop>
  <Company/>
  <LinksUpToDate>false</LinksUpToDate>
  <CharactersWithSpaces>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2015-09-07T05:21:00Z</dcterms:created>
  <dcterms:modified xsi:type="dcterms:W3CDTF">2015-09-07T05:21:00Z</dcterms:modified>
</cp:coreProperties>
</file>